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报名资料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一览表</w:t>
      </w:r>
    </w:p>
    <w:tbl>
      <w:tblPr>
        <w:tblStyle w:val="5"/>
        <w:tblpPr w:leftFromText="180" w:rightFromText="180" w:vertAnchor="text" w:horzAnchor="margin" w:tblpXSpec="center" w:tblpY="228"/>
        <w:tblOverlap w:val="never"/>
        <w:tblW w:w="0" w:type="auto"/>
        <w:tblInd w:w="-1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33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5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  <w:lang w:eastAsia="zh-CN"/>
              </w:rPr>
              <w:t>内容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法定代表人授权委托书及被委托人身份证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企业法人营业执照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药品经营许可证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药品经营质量管理规范认证证书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近三年无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重大违法记录的书面声明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供应商药品供货目录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下载《互联网医院药品目录标准》，标记出本企业能供货的药品名称，写出总数量和供货率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互联网医院配送所需的仓储、运输条件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提供承诺书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GSP证书复印件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“信用中国”（www.creditchina.gov.cn）无不良记录及失信记录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  <w:t>相关网页截图；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“中国政府采购网（www.ccgp.gov.cn）无严重违法失信行为信息记录相关网页截图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注：1.供应商请按上表顺序提供报名资料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2.报名资料需提供彩色扫描件并以PDF格式文件发送电子邮件至指定邮箱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3.电子邮件名称格式：XX公司报名资料（互联网医院药品配送供应商遴选）</w:t>
      </w:r>
    </w:p>
    <w:p/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874BE"/>
    <w:rsid w:val="32887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2020-03-04T08:54:00Z</dcterms:created>
  <dc:creator>清风是式</dc:creator>
  <cp:lastModifiedBy>清风是式</cp:lastModifiedBy>
  <dcterms:modified xsi:type="dcterms:W3CDTF">2020-03-04T08:55:31Z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